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2"/>
        <w:outlineLvl w:val="0"/>
        <w:jc w:val="center"/>
      </w:pPr>
      <w:r>
        <w:rPr>
          <w:sz w:val="24"/>
          <w:b w:val="on"/>
        </w:rPr>
        <w:t xml:space="preserve">Аккредитация образовательной деятельности</w:t>
      </w:r>
    </w:p>
    <w:p>
      <w:pPr>
        <w:pStyle w:val="2"/>
        <w:jc w:val="center"/>
      </w:pPr>
      <w:r>
        <w:rPr>
          <w:sz w:val="24"/>
          <w:b w:val="on"/>
        </w:rPr>
        <w:t xml:space="preserve">в соответствии Федеральным </w:t>
      </w:r>
      <w:hyperlink w:history="0" r:id="rId2"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b w:val="on"/>
          </w:rPr>
          <w:t xml:space="preserve">законом</w:t>
        </w:r>
      </w:hyperlink>
      <w:r>
        <w:rPr>
          <w:sz w:val="24"/>
          <w:b w:val="on"/>
        </w:rPr>
        <w:t xml:space="preserve"> от 29.12.2012 N 273-ФЗ "Об образовании в Российской Федерации"</w:t>
      </w:r>
    </w:p>
    <w:p>
      <w:pPr>
        <w:pStyle w:val="0"/>
        <w:jc w:val="both"/>
      </w:pPr>
      <w:r>
        <w:rPr>
          <w:sz w:val="24"/>
        </w:rPr>
      </w:r>
    </w:p>
    <w:p>
      <w:pPr>
        <w:pStyle w:val="0"/>
        <w:ind w:firstLine="540"/>
        <w:jc w:val="both"/>
      </w:pPr>
      <w:r>
        <w:rPr>
          <w:sz w:val="24"/>
        </w:rPr>
        <w:t xml:space="preserve">Государственная </w:t>
      </w:r>
      <w:r>
        <w:rPr>
          <w:sz w:val="24"/>
        </w:rPr>
        <w:t xml:space="preserve">аккредитация</w:t>
      </w:r>
      <w:r>
        <w:rPr>
          <w:sz w:val="24"/>
        </w:rPr>
        <w:t xml:space="preserve"> образовательной деятельности проводится </w:t>
      </w:r>
      <w:hyperlink w:history="0" r:id="rId3"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Рособрнадзором</w:t>
        </w:r>
      </w:hyperlink>
      <w:r>
        <w:rPr>
          <w:sz w:val="24"/>
        </w:rPr>
        <w:t xml:space="preserve">, или исполнительным органом субъекта РФ, осуществляющим переданные РФ полномочия в сфере образования, в соответствии с полномочиями, установленными </w:t>
      </w:r>
      <w:hyperlink w:history="0" r:id="rId4"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ст. 6</w:t>
        </w:r>
      </w:hyperlink>
      <w:r>
        <w:rPr>
          <w:sz w:val="24"/>
        </w:rPr>
        <w:t xml:space="preserve"> и </w:t>
      </w:r>
      <w:hyperlink w:history="0" r:id="rId5"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ст. 7</w:t>
        </w:r>
      </w:hyperlink>
      <w:r>
        <w:rPr>
          <w:sz w:val="24"/>
        </w:rPr>
        <w:t xml:space="preserve"> Федерального закона от 29.12.2012 N 273-ФЗ, по заявлениям организаций.</w:t>
      </w:r>
    </w:p>
    <w:p>
      <w:pPr>
        <w:pStyle w:val="0"/>
        <w:spacing w:before="240" w:line-rule="auto"/>
        <w:jc w:val="both"/>
      </w:pPr>
      <w:hyperlink w:history="0" w:anchor="P12" w:tooltip="2.1. Лица, претендующие на получение аккредитации">
        <w:r>
          <w:rPr>
            <w:sz w:val="24"/>
            <w:color w:val="0000ff"/>
          </w:rPr>
          <w:t xml:space="preserve">2.1.</w:t>
        </w:r>
      </w:hyperlink>
      <w:r>
        <w:rPr>
          <w:sz w:val="24"/>
        </w:rPr>
        <w:t xml:space="preserve"> Лица, претендующие на получение аккредитации</w:t>
      </w:r>
    </w:p>
    <w:p>
      <w:pPr>
        <w:pStyle w:val="0"/>
        <w:spacing w:before="240" w:line-rule="auto"/>
        <w:jc w:val="both"/>
      </w:pPr>
      <w:hyperlink w:history="0" w:anchor="P18" w:tooltip="2.2. Документы для аккредитации">
        <w:r>
          <w:rPr>
            <w:sz w:val="24"/>
            <w:color w:val="0000ff"/>
          </w:rPr>
          <w:t xml:space="preserve">2.2.</w:t>
        </w:r>
      </w:hyperlink>
      <w:r>
        <w:rPr>
          <w:sz w:val="24"/>
        </w:rPr>
        <w:t xml:space="preserve"> Документы для аккредитации</w:t>
      </w:r>
    </w:p>
    <w:p>
      <w:pPr>
        <w:pStyle w:val="0"/>
        <w:spacing w:before="240" w:line-rule="auto"/>
        <w:jc w:val="both"/>
      </w:pPr>
      <w:hyperlink w:history="0" w:anchor="P30" w:tooltip="2.3. Сроки осуществления аккредитации">
        <w:r>
          <w:rPr>
            <w:sz w:val="24"/>
            <w:color w:val="0000ff"/>
          </w:rPr>
          <w:t xml:space="preserve">2.3.</w:t>
        </w:r>
      </w:hyperlink>
      <w:r>
        <w:rPr>
          <w:sz w:val="24"/>
        </w:rPr>
        <w:t xml:space="preserve"> Сроки осуществления аккредитации</w:t>
      </w:r>
    </w:p>
    <w:p>
      <w:pPr>
        <w:pStyle w:val="0"/>
        <w:spacing w:before="240" w:line-rule="auto"/>
        <w:jc w:val="both"/>
      </w:pPr>
      <w:hyperlink w:history="0" w:anchor="P34" w:tooltip="2.4. Срок действия аккредитации">
        <w:r>
          <w:rPr>
            <w:sz w:val="24"/>
            <w:color w:val="0000ff"/>
          </w:rPr>
          <w:t xml:space="preserve">2.4.</w:t>
        </w:r>
      </w:hyperlink>
      <w:r>
        <w:rPr>
          <w:sz w:val="24"/>
        </w:rPr>
        <w:t xml:space="preserve"> Срок действия аккредитации</w:t>
      </w:r>
    </w:p>
    <w:p>
      <w:pPr>
        <w:pStyle w:val="0"/>
        <w:spacing w:before="240" w:line-rule="auto"/>
        <w:jc w:val="both"/>
      </w:pPr>
      <w:hyperlink w:history="0" w:anchor="P41" w:tooltip="2.5. Плата за аккредитацию">
        <w:r>
          <w:rPr>
            <w:sz w:val="24"/>
            <w:color w:val="0000ff"/>
          </w:rPr>
          <w:t xml:space="preserve">2.5.</w:t>
        </w:r>
      </w:hyperlink>
      <w:r>
        <w:rPr>
          <w:sz w:val="24"/>
        </w:rPr>
        <w:t xml:space="preserve"> Плата за аккредитацию</w:t>
      </w:r>
    </w:p>
    <w:p>
      <w:pPr>
        <w:pStyle w:val="0"/>
        <w:spacing w:before="240" w:line-rule="auto"/>
        <w:jc w:val="both"/>
      </w:pPr>
      <w:hyperlink w:history="0" w:anchor="P50" w:tooltip="2.6. Правила временной государственной аккредитации образовательной деятельности организаций расположенных на территориях Донецкой Народной Республики, Луганской Народной Республики, Запорожской области, Херсонской области">
        <w:r>
          <w:rPr>
            <w:sz w:val="24"/>
            <w:color w:val="0000ff"/>
          </w:rPr>
          <w:t xml:space="preserve">2.6.</w:t>
        </w:r>
      </w:hyperlink>
      <w:r>
        <w:rPr>
          <w:sz w:val="24"/>
        </w:rPr>
        <w:t xml:space="preserve"> Правила временной государственной аккредитации организаций расположенных на территориях Донецкой Народной Республики, Луганской Народной Республики, Запорожской области, Херсонской области</w:t>
      </w:r>
    </w:p>
    <w:p>
      <w:pPr>
        <w:pStyle w:val="0"/>
        <w:spacing w:before="240" w:line-rule="auto"/>
        <w:jc w:val="both"/>
      </w:pPr>
      <w:hyperlink w:history="0" w:anchor="P69" w:tooltip="2.7. Дополнительные материалы, письма:">
        <w:r>
          <w:rPr>
            <w:sz w:val="24"/>
            <w:color w:val="0000ff"/>
          </w:rPr>
          <w:t xml:space="preserve">2.7.</w:t>
        </w:r>
      </w:hyperlink>
      <w:r>
        <w:rPr>
          <w:sz w:val="24"/>
        </w:rPr>
        <w:t xml:space="preserve"> Дополнительные материалы, письма</w:t>
      </w:r>
    </w:p>
    <w:p>
      <w:pPr>
        <w:pStyle w:val="0"/>
        <w:jc w:val="both"/>
      </w:pPr>
      <w:r>
        <w:rPr>
          <w:sz w:val="24"/>
        </w:rPr>
      </w:r>
    </w:p>
    <w:bookmarkStart w:id="12" w:name="P12"/>
    <w:bookmarkEnd w:id="12"/>
    <w:p>
      <w:pPr>
        <w:pStyle w:val="0"/>
        <w:outlineLvl w:val="1"/>
        <w:jc w:val="center"/>
      </w:pPr>
      <w:r>
        <w:rPr>
          <w:sz w:val="24"/>
        </w:rPr>
        <w:t xml:space="preserve">2.1. Лица, претендующие на получение аккредитации</w:t>
      </w:r>
    </w:p>
    <w:p>
      <w:pPr>
        <w:pStyle w:val="0"/>
        <w:jc w:val="both"/>
      </w:pPr>
      <w:r>
        <w:rPr>
          <w:sz w:val="24"/>
        </w:rPr>
      </w:r>
    </w:p>
    <w:p>
      <w:pPr>
        <w:pStyle w:val="0"/>
        <w:ind w:firstLine="540"/>
        <w:jc w:val="both"/>
      </w:pPr>
      <w:hyperlink w:history="0" r:id="rId6"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4"/>
            <w:color w:val="0000ff"/>
          </w:rPr>
          <w:t xml:space="preserve">Лицами</w:t>
        </w:r>
      </w:hyperlink>
      <w:r>
        <w:rPr>
          <w:sz w:val="24"/>
        </w:rPr>
        <w:t xml:space="preserve">, претендующими на получение аккредитации по реализации основных образовательных программ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 являются:</w:t>
      </w:r>
    </w:p>
    <w:p>
      <w:pPr>
        <w:pStyle w:val="0"/>
        <w:spacing w:before="240" w:line-rule="auto"/>
        <w:ind w:firstLine="540"/>
        <w:jc w:val="both"/>
      </w:pPr>
      <w:r>
        <w:rPr>
          <w:sz w:val="24"/>
        </w:rPr>
        <w:t xml:space="preserve">1. Образовательные организации;</w:t>
      </w:r>
    </w:p>
    <w:p>
      <w:pPr>
        <w:pStyle w:val="0"/>
        <w:spacing w:before="240" w:line-rule="auto"/>
        <w:ind w:firstLine="540"/>
        <w:jc w:val="both"/>
      </w:pPr>
      <w:r>
        <w:rPr>
          <w:sz w:val="24"/>
        </w:rPr>
        <w:t xml:space="preserve">2.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ind w:firstLine="540"/>
        <w:jc w:val="both"/>
      </w:pPr>
      <w:r>
        <w:rPr>
          <w:sz w:val="24"/>
        </w:rPr>
      </w:r>
    </w:p>
    <w:bookmarkStart w:id="18" w:name="P18"/>
    <w:bookmarkEnd w:id="18"/>
    <w:p>
      <w:pPr>
        <w:pStyle w:val="0"/>
        <w:outlineLvl w:val="1"/>
        <w:jc w:val="center"/>
      </w:pPr>
      <w:r>
        <w:rPr>
          <w:sz w:val="24"/>
        </w:rPr>
        <w:t xml:space="preserve">2.2. Документы для аккредитации</w:t>
      </w:r>
    </w:p>
    <w:p>
      <w:pPr>
        <w:pStyle w:val="0"/>
        <w:ind w:firstLine="540"/>
        <w:jc w:val="both"/>
      </w:pPr>
      <w:r>
        <w:rPr>
          <w:sz w:val="24"/>
        </w:rPr>
      </w:r>
    </w:p>
    <w:p>
      <w:pPr>
        <w:pStyle w:val="0"/>
        <w:ind w:firstLine="540"/>
        <w:jc w:val="both"/>
      </w:pPr>
      <w:r>
        <w:rPr>
          <w:sz w:val="24"/>
        </w:rPr>
        <w:t xml:space="preserve">Заявители представляют в аккредитационный орган следующие документы:</w:t>
      </w:r>
    </w:p>
    <w:p>
      <w:pPr>
        <w:pStyle w:val="0"/>
        <w:spacing w:before="240" w:line-rule="auto"/>
        <w:ind w:firstLine="540"/>
        <w:jc w:val="both"/>
      </w:pPr>
      <w:r>
        <w:rPr>
          <w:sz w:val="24"/>
        </w:rPr>
        <w:t xml:space="preserve">1. </w:t>
      </w:r>
      <w:r>
        <w:rPr>
          <w:sz w:val="24"/>
        </w:rPr>
        <w:t xml:space="preserve">Заявление</w:t>
      </w:r>
      <w:r>
        <w:rPr>
          <w:sz w:val="24"/>
        </w:rPr>
        <w:t xml:space="preserve"> о государственной аккредитации образовательной деятельности;</w:t>
      </w:r>
    </w:p>
    <w:p>
      <w:pPr>
        <w:pStyle w:val="0"/>
        <w:spacing w:before="240" w:line-rule="auto"/>
        <w:ind w:firstLine="540"/>
        <w:jc w:val="both"/>
      </w:pPr>
      <w:r>
        <w:rPr>
          <w:sz w:val="24"/>
        </w:rPr>
        <w:t xml:space="preserve">2. </w:t>
      </w:r>
      <w:hyperlink w:history="0" r:id="rId7"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4"/>
            <w:color w:val="0000ff"/>
          </w:rPr>
          <w:t xml:space="preserve">Документы</w:t>
        </w:r>
      </w:hyperlink>
      <w:r>
        <w:rPr>
          <w:sz w:val="24"/>
        </w:rPr>
        <w:t xml:space="preserve">, прилагаемые к заявлению о государственной аккредитации образовательной деятельности;</w:t>
      </w:r>
    </w:p>
    <w:p>
      <w:pPr>
        <w:pStyle w:val="0"/>
        <w:spacing w:before="240" w:line-rule="auto"/>
        <w:ind w:firstLine="540"/>
        <w:jc w:val="both"/>
      </w:pPr>
      <w:r>
        <w:rPr>
          <w:sz w:val="24"/>
        </w:rPr>
        <w:t xml:space="preserve">3. Копию договора о сетевой форме реализации образовательных программ, заключенного в соответствии со </w:t>
      </w:r>
      <w:hyperlink w:history="0" r:id="rId8"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ст. 15</w:t>
        </w:r>
      </w:hyperlink>
      <w:r>
        <w:rPr>
          <w:sz w:val="24"/>
        </w:rPr>
        <w:t xml:space="preserve"> Федерального закона "Об образовании в Российской Федерации" (с предъявлением оригинала, если копия нотариально не заверена), а также копии разработанных и утвержденных совместно с другими организациями, осуществляющими образовательную деятельность, образовательных программ (при наличии образовательных программ, реализуемых с использованием сетевой формы). </w:t>
      </w:r>
      <w:hyperlink w:history="0" r:id="rId9" w:tooltip="Форма: Договор о сетевой форме реализации образовательных программ (на основе утвержденной примерной формы) (образец заполнения) (Подготовлен для системы КонсультантПлюс, 2025) {КонсультантПлюс}">
        <w:r>
          <w:rPr>
            <w:sz w:val="24"/>
            <w:color w:val="0000ff"/>
          </w:rPr>
          <w:t xml:space="preserve">Образец</w:t>
        </w:r>
      </w:hyperlink>
      <w:r>
        <w:rPr>
          <w:sz w:val="24"/>
        </w:rPr>
        <w:t xml:space="preserve"> договора;</w:t>
      </w:r>
    </w:p>
    <w:p>
      <w:pPr>
        <w:pStyle w:val="0"/>
        <w:spacing w:before="240" w:line-rule="auto"/>
        <w:ind w:firstLine="540"/>
        <w:jc w:val="both"/>
      </w:pPr>
      <w:r>
        <w:rPr>
          <w:sz w:val="24"/>
        </w:rPr>
        <w:t xml:space="preserve">4. Копию договора о создании в образовательной организации, реализующей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(с предъявлением оригинала, если копия нотариально не заверена) (в случае заключения такого договора);</w:t>
      </w:r>
    </w:p>
    <w:p>
      <w:pPr>
        <w:pStyle w:val="0"/>
        <w:spacing w:before="240" w:line-rule="auto"/>
        <w:ind w:firstLine="540"/>
        <w:jc w:val="both"/>
      </w:pPr>
      <w:r>
        <w:rPr>
          <w:sz w:val="24"/>
        </w:rPr>
        <w:t xml:space="preserve">5. Копию договора о создании образовательной организацией, реализующей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(с предъявлением оригинала, если копия нотариально не заверена) (в случае заключения такого договора);</w:t>
      </w:r>
    </w:p>
    <w:p>
      <w:pPr>
        <w:pStyle w:val="0"/>
        <w:spacing w:before="240" w:line-rule="auto"/>
        <w:ind w:firstLine="540"/>
        <w:jc w:val="both"/>
      </w:pPr>
      <w:r>
        <w:rPr>
          <w:sz w:val="24"/>
        </w:rPr>
        <w:t xml:space="preserve">6. Копию договора о создании профессиональной образовательной организацией или образовательной организацией высшего образования кафедр и иных структурных подразделений, обеспечивающих практическую подготовку обучающихся, на базе иных организаций, осуществляющих деятельность по профилю соответствующей образовательной программы (с предъявлением оригинала, если копия нотариально не заверена) (в случае заключения такого договора);</w:t>
      </w:r>
    </w:p>
    <w:p>
      <w:pPr>
        <w:pStyle w:val="0"/>
        <w:spacing w:before="240" w:line-rule="auto"/>
        <w:ind w:firstLine="540"/>
        <w:jc w:val="both"/>
      </w:pPr>
      <w:r>
        <w:rPr>
          <w:sz w:val="24"/>
        </w:rPr>
        <w:t xml:space="preserve">7. Сведения о наличии (об отсутствии) общественной аккредитации в российских, иностранных и международных организациях и (или) профессионально-общественной аккредитации;</w:t>
      </w:r>
    </w:p>
    <w:p>
      <w:pPr>
        <w:pStyle w:val="0"/>
        <w:spacing w:before="240" w:line-rule="auto"/>
        <w:ind w:firstLine="540"/>
        <w:jc w:val="both"/>
      </w:pPr>
      <w:r>
        <w:rPr>
          <w:sz w:val="24"/>
        </w:rPr>
        <w:t xml:space="preserve">8. Копию документа о государственной регистрации организации, осуществляющей образовательную деятельность, в соответствии с законодательством иностранного государства (для иностранных организаций, осуществляющих образовательную деятельность).</w:t>
      </w:r>
    </w:p>
    <w:p>
      <w:pPr>
        <w:pStyle w:val="0"/>
        <w:jc w:val="both"/>
      </w:pPr>
      <w:r>
        <w:rPr>
          <w:sz w:val="24"/>
        </w:rPr>
      </w:r>
    </w:p>
    <w:bookmarkStart w:id="30" w:name="P30"/>
    <w:bookmarkEnd w:id="30"/>
    <w:p>
      <w:pPr>
        <w:pStyle w:val="0"/>
        <w:outlineLvl w:val="1"/>
        <w:jc w:val="center"/>
      </w:pPr>
      <w:r>
        <w:rPr>
          <w:sz w:val="24"/>
        </w:rPr>
        <w:t xml:space="preserve">2.3. Сроки осуществления аккредитации</w:t>
      </w:r>
    </w:p>
    <w:p>
      <w:pPr>
        <w:pStyle w:val="0"/>
        <w:jc w:val="both"/>
      </w:pPr>
      <w:r>
        <w:rPr>
          <w:sz w:val="24"/>
        </w:rPr>
      </w:r>
    </w:p>
    <w:p>
      <w:pPr>
        <w:pStyle w:val="0"/>
        <w:ind w:firstLine="540"/>
        <w:jc w:val="both"/>
      </w:pPr>
      <w:r>
        <w:rPr>
          <w:sz w:val="24"/>
        </w:rPr>
        <w:t xml:space="preserve">Срок аккредитации составляет не более </w:t>
      </w:r>
      <w:hyperlink w:history="0" r:id="rId10"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25 дней</w:t>
        </w:r>
      </w:hyperlink>
      <w:r>
        <w:rPr>
          <w:sz w:val="24"/>
        </w:rPr>
        <w:t xml:space="preserve"> со дня приема заявления и прилагаемых документов.</w:t>
      </w:r>
    </w:p>
    <w:p>
      <w:pPr>
        <w:pStyle w:val="0"/>
        <w:jc w:val="both"/>
      </w:pPr>
      <w:r>
        <w:rPr>
          <w:sz w:val="24"/>
        </w:rPr>
      </w:r>
    </w:p>
    <w:bookmarkStart w:id="34" w:name="P34"/>
    <w:bookmarkEnd w:id="34"/>
    <w:p>
      <w:pPr>
        <w:pStyle w:val="0"/>
        <w:outlineLvl w:val="1"/>
        <w:jc w:val="center"/>
      </w:pPr>
      <w:r>
        <w:rPr>
          <w:sz w:val="24"/>
        </w:rPr>
        <w:t xml:space="preserve">2.4. Срок действия аккредитации</w:t>
      </w:r>
    </w:p>
    <w:p>
      <w:pPr>
        <w:pStyle w:val="0"/>
        <w:jc w:val="both"/>
      </w:pPr>
      <w:r>
        <w:rPr>
          <w:sz w:val="24"/>
        </w:rPr>
      </w:r>
    </w:p>
    <w:p>
      <w:pPr>
        <w:pStyle w:val="0"/>
        <w:ind w:firstLine="540"/>
        <w:jc w:val="both"/>
      </w:pPr>
      <w:r>
        <w:rPr>
          <w:sz w:val="24"/>
        </w:rPr>
        <w:t xml:space="preserve">Государственная аккредитация образовательной деятельности действует </w:t>
      </w:r>
      <w:hyperlink w:history="0" r:id="rId11"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бессрочно</w:t>
        </w:r>
      </w:hyperlink>
      <w:r>
        <w:rPr>
          <w:sz w:val="24"/>
        </w:rPr>
        <w:t xml:space="preserve">.</w:t>
      </w:r>
    </w:p>
    <w:p>
      <w:pPr>
        <w:pStyle w:val="0"/>
        <w:spacing w:before="240" w:line-rule="auto"/>
        <w:ind w:firstLine="540"/>
        <w:jc w:val="both"/>
      </w:pPr>
      <w:hyperlink w:history="0" r:id="rId12"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Исключение</w:t>
        </w:r>
      </w:hyperlink>
      <w:r>
        <w:rPr>
          <w:sz w:val="24"/>
        </w:rPr>
        <w:t xml:space="preserve"> из общего правила относится к сроку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РФ, который составляет:</w:t>
      </w:r>
    </w:p>
    <w:p>
      <w:pPr>
        <w:pStyle w:val="0"/>
        <w:spacing w:before="240" w:line-rule="auto"/>
        <w:ind w:firstLine="540"/>
        <w:jc w:val="both"/>
      </w:pPr>
      <w:r>
        <w:rPr>
          <w:sz w:val="24"/>
        </w:rPr>
        <w:t xml:space="preserve">- </w:t>
      </w:r>
      <w:hyperlink w:history="0" r:id="rId13"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6 лет</w:t>
        </w:r>
      </w:hyperlink>
      <w:r>
        <w:rPr>
          <w:sz w:val="24"/>
        </w:rPr>
        <w:t xml:space="preserve"> для организации, осуществляющей образовательную деятельность по основным профессиональным образовательным программам;</w:t>
      </w:r>
    </w:p>
    <w:p>
      <w:pPr>
        <w:pStyle w:val="0"/>
        <w:spacing w:before="240" w:line-rule="auto"/>
        <w:ind w:firstLine="540"/>
        <w:jc w:val="both"/>
      </w:pPr>
      <w:r>
        <w:rPr>
          <w:sz w:val="24"/>
        </w:rPr>
        <w:t xml:space="preserve">- </w:t>
      </w:r>
      <w:hyperlink w:history="0" r:id="rId14"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12 лет</w:t>
        </w:r>
      </w:hyperlink>
      <w:r>
        <w:rPr>
          <w:sz w:val="24"/>
        </w:rPr>
        <w:t xml:space="preserve"> для организации, осуществляющей образовательную деятельность по основным общеобразовательным программам.</w:t>
      </w:r>
    </w:p>
    <w:p>
      <w:pPr>
        <w:pStyle w:val="0"/>
        <w:jc w:val="both"/>
      </w:pPr>
      <w:r>
        <w:rPr>
          <w:sz w:val="24"/>
        </w:rPr>
      </w:r>
    </w:p>
    <w:bookmarkStart w:id="41" w:name="P41"/>
    <w:bookmarkEnd w:id="41"/>
    <w:p>
      <w:pPr>
        <w:pStyle w:val="0"/>
        <w:outlineLvl w:val="1"/>
        <w:jc w:val="center"/>
      </w:pPr>
      <w:r>
        <w:rPr>
          <w:sz w:val="24"/>
        </w:rPr>
        <w:t xml:space="preserve">2.5. Плата за аккредитацию</w:t>
      </w:r>
    </w:p>
    <w:p>
      <w:pPr>
        <w:pStyle w:val="0"/>
        <w:jc w:val="both"/>
      </w:pPr>
      <w:r>
        <w:rPr>
          <w:sz w:val="24"/>
        </w:rPr>
      </w:r>
    </w:p>
    <w:p>
      <w:pPr>
        <w:pStyle w:val="0"/>
        <w:ind w:firstLine="540"/>
        <w:jc w:val="both"/>
      </w:pPr>
      <w:r>
        <w:rPr>
          <w:sz w:val="24"/>
        </w:rPr>
        <w:t xml:space="preserve">Плата за аккредитацию состоит из двух составляющих:</w:t>
      </w:r>
    </w:p>
    <w:p>
      <w:pPr>
        <w:pStyle w:val="0"/>
        <w:spacing w:before="240" w:line-rule="auto"/>
        <w:ind w:firstLine="540"/>
        <w:jc w:val="both"/>
      </w:pPr>
      <w:r>
        <w:rPr>
          <w:sz w:val="24"/>
        </w:rPr>
        <w:t xml:space="preserve">1. Размера государственной пошлины за государственную аккредитацию образовательной деятельности:</w:t>
      </w:r>
    </w:p>
    <w:p>
      <w:pPr>
        <w:pStyle w:val="0"/>
        <w:spacing w:before="240" w:line-rule="auto"/>
        <w:ind w:firstLine="540"/>
        <w:jc w:val="both"/>
      </w:pPr>
      <w:r>
        <w:rPr>
          <w:sz w:val="24"/>
        </w:rPr>
        <w:t xml:space="preserve">- по основным образовательным программам начального общего, основного общего, среднего общего образования - </w:t>
      </w:r>
      <w:hyperlink w:history="0" r:id="rId15"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15 000 рублей</w:t>
        </w:r>
      </w:hyperlink>
      <w:r>
        <w:rPr>
          <w:sz w:val="24"/>
        </w:rPr>
        <w:t xml:space="preserve">;</w:t>
      </w:r>
    </w:p>
    <w:p>
      <w:pPr>
        <w:pStyle w:val="0"/>
        <w:spacing w:before="240" w:line-rule="auto"/>
        <w:ind w:firstLine="540"/>
        <w:jc w:val="both"/>
      </w:pPr>
      <w:r>
        <w:rPr>
          <w:sz w:val="24"/>
        </w:rPr>
        <w:t xml:space="preserve">- по основным образовательным программам среднего профессионального образования - </w:t>
      </w:r>
      <w:hyperlink w:history="0" r:id="rId16"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35 000 рублей</w:t>
        </w:r>
      </w:hyperlink>
      <w:r>
        <w:rPr>
          <w:sz w:val="24"/>
        </w:rPr>
        <w:t xml:space="preserve">;</w:t>
      </w:r>
    </w:p>
    <w:p>
      <w:pPr>
        <w:pStyle w:val="0"/>
        <w:spacing w:before="240" w:line-rule="auto"/>
        <w:ind w:firstLine="540"/>
        <w:jc w:val="both"/>
      </w:pPr>
      <w:r>
        <w:rPr>
          <w:sz w:val="24"/>
        </w:rPr>
        <w:t xml:space="preserve">- по основным образовательным программам высшего образования - </w:t>
      </w:r>
      <w:hyperlink w:history="0" r:id="rId17"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100 000 рублей</w:t>
        </w:r>
      </w:hyperlink>
      <w:r>
        <w:rPr>
          <w:sz w:val="24"/>
        </w:rPr>
        <w:t xml:space="preserve">.</w:t>
      </w:r>
    </w:p>
    <w:p>
      <w:pPr>
        <w:pStyle w:val="0"/>
        <w:spacing w:before="240" w:line-rule="auto"/>
        <w:ind w:firstLine="540"/>
        <w:jc w:val="both"/>
      </w:pPr>
      <w:r>
        <w:rPr>
          <w:sz w:val="24"/>
        </w:rPr>
        <w:t xml:space="preserve">2. Стоимости </w:t>
      </w:r>
      <w:hyperlink w:history="0" r:id="rId18"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услуг</w:t>
        </w:r>
      </w:hyperlink>
      <w:r>
        <w:rPr>
          <w:sz w:val="24"/>
        </w:rPr>
        <w:t xml:space="preserve"> экспертов и экспертных организаций и возмещение понесенных ими в связи с проведением аккредитационной экспертизы расходов.</w:t>
      </w:r>
    </w:p>
    <w:p>
      <w:pPr>
        <w:pStyle w:val="0"/>
        <w:jc w:val="both"/>
      </w:pPr>
      <w:r>
        <w:rPr>
          <w:sz w:val="24"/>
        </w:rPr>
      </w:r>
    </w:p>
    <w:bookmarkStart w:id="50" w:name="P50"/>
    <w:bookmarkEnd w:id="50"/>
    <w:p>
      <w:pPr>
        <w:pStyle w:val="0"/>
        <w:outlineLvl w:val="1"/>
        <w:jc w:val="center"/>
      </w:pPr>
      <w:r>
        <w:rPr>
          <w:sz w:val="24"/>
        </w:rPr>
        <w:t xml:space="preserve">2.6. Правила временной государственной аккредитации образовательной деятельности организаций расположенных на территориях Донецкой Народной Республики, Луганской Народной Республики, Запорожской области, Херсонской области</w:t>
      </w:r>
    </w:p>
    <w:p>
      <w:pPr>
        <w:pStyle w:val="0"/>
        <w:jc w:val="center"/>
      </w:pPr>
      <w:r>
        <w:rPr>
          <w:sz w:val="24"/>
        </w:rPr>
        <w:t xml:space="preserve">(действует до 1 января 2026 г.)</w:t>
      </w:r>
    </w:p>
    <w:p>
      <w:pPr>
        <w:pStyle w:val="0"/>
        <w:jc w:val="both"/>
      </w:pPr>
      <w:r>
        <w:rPr>
          <w:sz w:val="24"/>
        </w:rPr>
      </w:r>
    </w:p>
    <w:p>
      <w:pPr>
        <w:pStyle w:val="0"/>
        <w:ind w:firstLine="540"/>
        <w:jc w:val="both"/>
      </w:pPr>
      <w:r>
        <w:rPr>
          <w:sz w:val="24"/>
        </w:rPr>
        <w:t xml:space="preserve">Заявители </w:t>
      </w:r>
      <w:hyperlink w:history="0" r:id="rId19"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представляют</w:t>
        </w:r>
      </w:hyperlink>
      <w:r>
        <w:rPr>
          <w:sz w:val="24"/>
        </w:rPr>
        <w:t xml:space="preserve"> в аккредитационный орган:</w:t>
      </w:r>
    </w:p>
    <w:p>
      <w:pPr>
        <w:pStyle w:val="0"/>
        <w:spacing w:before="240" w:line-rule="auto"/>
        <w:ind w:firstLine="540"/>
        <w:jc w:val="both"/>
      </w:pPr>
      <w:r>
        <w:rPr>
          <w:sz w:val="24"/>
        </w:rPr>
        <w:t xml:space="preserve">- </w:t>
      </w:r>
      <w:hyperlink w:history="0" r:id="rId20"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заявление</w:t>
        </w:r>
      </w:hyperlink>
      <w:r>
        <w:rPr>
          <w:sz w:val="24"/>
        </w:rPr>
        <w:t xml:space="preserve"> о предоставлении временной аккредитации одновременно с заявлением о предоставлении временной лицензии на осуществление образовательной деятельности.</w:t>
      </w:r>
    </w:p>
    <w:p>
      <w:pPr>
        <w:pStyle w:val="0"/>
        <w:spacing w:before="240" w:line-rule="auto"/>
        <w:ind w:firstLine="540"/>
        <w:jc w:val="both"/>
      </w:pPr>
      <w:r>
        <w:rPr>
          <w:sz w:val="24"/>
        </w:rPr>
        <w:t xml:space="preserve">Способы направления заявления:</w:t>
      </w:r>
    </w:p>
    <w:p>
      <w:pPr>
        <w:pStyle w:val="0"/>
        <w:spacing w:before="240" w:line-rule="auto"/>
        <w:ind w:firstLine="540"/>
        <w:jc w:val="both"/>
      </w:pPr>
      <w:r>
        <w:rPr>
          <w:sz w:val="24"/>
        </w:rPr>
        <w:t xml:space="preserve">- </w:t>
      </w:r>
      <w:hyperlink w:history="0" r:id="rId21"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в форме электронного документа</w:t>
        </w:r>
      </w:hyperlink>
      <w:r>
        <w:rPr>
          <w:sz w:val="24"/>
        </w:rPr>
        <w:t xml:space="preserve">, подписанного усиленной квалифицированной электронной подписью, - посредством информационно-телекоммуникационных сетей общего пользования, в т.ч. сеть "Интернет", включая ФГИС "Единый портал государственных и муниципальных услуг (функций)".</w:t>
      </w:r>
    </w:p>
    <w:p>
      <w:pPr>
        <w:pStyle w:val="0"/>
        <w:spacing w:before="240" w:line-rule="auto"/>
        <w:ind w:firstLine="540"/>
        <w:jc w:val="both"/>
      </w:pPr>
      <w:r>
        <w:rPr>
          <w:sz w:val="24"/>
        </w:rPr>
        <w:t xml:space="preserve">За предоставление временной аккредитации государственная пошлина </w:t>
      </w:r>
      <w:hyperlink w:history="0" r:id="rId22"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не взимается</w:t>
        </w:r>
      </w:hyperlink>
      <w:r>
        <w:rPr>
          <w:sz w:val="24"/>
        </w:rPr>
        <w:t xml:space="preserve">.</w:t>
      </w:r>
    </w:p>
    <w:p>
      <w:pPr>
        <w:pStyle w:val="0"/>
        <w:spacing w:before="240" w:line-rule="auto"/>
        <w:ind w:firstLine="540"/>
        <w:jc w:val="both"/>
      </w:pPr>
      <w:r>
        <w:rPr>
          <w:sz w:val="24"/>
        </w:rPr>
        <w:t xml:space="preserve">Случаи </w:t>
      </w:r>
      <w:hyperlink w:history="0" r:id="rId23"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отказа</w:t>
        </w:r>
      </w:hyperlink>
      <w:r>
        <w:rPr>
          <w:sz w:val="24"/>
        </w:rPr>
        <w:t xml:space="preserve"> в предоставлении временной аккретитации.</w:t>
      </w:r>
    </w:p>
    <w:p>
      <w:pPr>
        <w:pStyle w:val="0"/>
        <w:spacing w:before="240" w:line-rule="auto"/>
        <w:ind w:firstLine="540"/>
        <w:jc w:val="both"/>
      </w:pPr>
      <w:r>
        <w:rPr>
          <w:sz w:val="24"/>
        </w:rPr>
        <w:t xml:space="preserve">Документы, выдаваемые аккредитационным органом </w:t>
      </w:r>
      <w:r>
        <w:rPr>
          <w:sz w:val="24"/>
          <w:i w:val="on"/>
        </w:rPr>
        <w:t xml:space="preserve">(действует до </w:t>
      </w:r>
      <w:hyperlink w:history="0" r:id="rId24"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i w:val="on"/>
          </w:rPr>
          <w:t xml:space="preserve">01.09.2023</w:t>
        </w:r>
      </w:hyperlink>
      <w:r>
        <w:rPr>
          <w:sz w:val="24"/>
          <w:i w:val="on"/>
        </w:rPr>
        <w:t xml:space="preserve">)</w:t>
      </w:r>
      <w:r>
        <w:rPr>
          <w:sz w:val="24"/>
        </w:rPr>
        <w:t xml:space="preserve">:</w:t>
      </w:r>
    </w:p>
    <w:p>
      <w:pPr>
        <w:pStyle w:val="0"/>
        <w:spacing w:before="240" w:line-rule="auto"/>
        <w:ind w:firstLine="540"/>
        <w:jc w:val="both"/>
      </w:pPr>
      <w:r>
        <w:rPr>
          <w:sz w:val="24"/>
        </w:rPr>
        <w:t xml:space="preserve">- временное свидетельство о государственной аккредитации образовательной деятельности;</w:t>
      </w:r>
    </w:p>
    <w:p>
      <w:pPr>
        <w:pStyle w:val="0"/>
        <w:spacing w:before="240" w:line-rule="auto"/>
        <w:ind w:firstLine="540"/>
        <w:jc w:val="both"/>
      </w:pPr>
      <w:r>
        <w:rPr>
          <w:sz w:val="24"/>
        </w:rPr>
        <w:t xml:space="preserve">Действие временного свидетельства о государственной аккредитации образовательной деятельности, выданного заявителю до 1 сентября 2023 г. на бумажном носителе, </w:t>
      </w:r>
      <w:hyperlink w:history="0" r:id="rId25"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прекращается</w:t>
        </w:r>
      </w:hyperlink>
      <w:r>
        <w:rPr>
          <w:sz w:val="24"/>
        </w:rPr>
        <w:t xml:space="preserve"> с даты внесения изменений в реестр в случаях, предусмотренных </w:t>
      </w:r>
      <w:hyperlink w:history="0" r:id="rId26"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п. 14 Правил</w:t>
        </w:r>
      </w:hyperlink>
      <w:r>
        <w:rPr>
          <w:sz w:val="24"/>
        </w:rPr>
        <w:t xml:space="preserve">.</w:t>
      </w:r>
    </w:p>
    <w:p>
      <w:pPr>
        <w:pStyle w:val="0"/>
        <w:spacing w:before="240" w:line-rule="auto"/>
        <w:ind w:firstLine="540"/>
        <w:jc w:val="both"/>
      </w:pPr>
      <w:r>
        <w:rPr>
          <w:sz w:val="24"/>
        </w:rPr>
        <w:t xml:space="preserve">Подтверждением наличия временной аккредитации </w:t>
      </w:r>
      <w:hyperlink w:history="0" r:id="rId27"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является</w:t>
        </w:r>
      </w:hyperlink>
      <w:r>
        <w:rPr>
          <w:sz w:val="24"/>
        </w:rPr>
        <w:t xml:space="preserve"> соответствующая запись в реестре.</w:t>
      </w:r>
    </w:p>
    <w:p>
      <w:pPr>
        <w:pStyle w:val="0"/>
        <w:spacing w:before="240" w:line-rule="auto"/>
        <w:ind w:firstLine="540"/>
        <w:jc w:val="both"/>
      </w:pPr>
      <w:r>
        <w:rPr>
          <w:sz w:val="24"/>
        </w:rPr>
        <w:t xml:space="preserve">Запрос о выдаче выписки из реестра:</w:t>
      </w:r>
    </w:p>
    <w:p>
      <w:pPr>
        <w:pStyle w:val="0"/>
        <w:spacing w:before="240" w:line-rule="auto"/>
        <w:ind w:firstLine="540"/>
        <w:jc w:val="both"/>
      </w:pPr>
      <w:r>
        <w:rPr>
          <w:sz w:val="24"/>
        </w:rPr>
        <w:t xml:space="preserve">- запрос о выдаче выписки из реестра </w:t>
      </w:r>
      <w:hyperlink w:history="0" r:id="rId28"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может</w:t>
        </w:r>
      </w:hyperlink>
      <w:r>
        <w:rPr>
          <w:sz w:val="24"/>
        </w:rPr>
        <w:t xml:space="preserve"> содержаться в заявлении о предоставлении временной аккредитации.</w:t>
      </w:r>
    </w:p>
    <w:p>
      <w:pPr>
        <w:pStyle w:val="0"/>
        <w:ind w:firstLine="540"/>
        <w:jc w:val="both"/>
      </w:pPr>
      <w:r>
        <w:rPr>
          <w:sz w:val="24"/>
        </w:rPr>
      </w:r>
    </w:p>
    <w:p>
      <w:pPr>
        <w:pStyle w:val="0"/>
        <w:ind w:firstLine="540"/>
        <w:jc w:val="both"/>
      </w:pPr>
      <w:r>
        <w:rPr>
          <w:sz w:val="24"/>
        </w:rPr>
        <w:t xml:space="preserve">- либо </w:t>
      </w:r>
      <w:hyperlink w:history="0" r:id="rId29"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направляется</w:t>
        </w:r>
      </w:hyperlink>
      <w:r>
        <w:rPr>
          <w:sz w:val="24"/>
        </w:rPr>
        <w:t xml:space="preserve"> в форме электронного документа, подписанного простой электронной подписью, с использованием сети "Интернет", включая единый портал, региональные порталы государственных и муниципальных услуг, а также посредством информационной системы аккредитационного органа.</w:t>
      </w:r>
    </w:p>
    <w:p>
      <w:pPr>
        <w:pStyle w:val="0"/>
        <w:spacing w:before="240" w:line-rule="auto"/>
        <w:ind w:firstLine="540"/>
        <w:jc w:val="both"/>
      </w:pPr>
      <w:r>
        <w:rPr>
          <w:sz w:val="24"/>
        </w:rPr>
        <w:t xml:space="preserve">Формирование выписки из реестра производится не позднее </w:t>
      </w:r>
      <w:hyperlink w:history="0" r:id="rId30" w:tooltip="Постановление Правительства РФ от 20.04.2023 N 624 (ред. от 20.04.2023) &quot;Об утверждении Правил предоставления временной государственной аккредитации образовательной деятельности организациям, осуществляющим образовательную деятельность, расположенным на территориях Донецкой Народной Республики, Луганской Народной Республики, Запорожской области, Херсонской области&quot; {КонсультантПлюс}">
        <w:r>
          <w:rPr>
            <w:sz w:val="24"/>
            <w:color w:val="0000ff"/>
          </w:rPr>
          <w:t xml:space="preserve">3 рабочих дней</w:t>
        </w:r>
      </w:hyperlink>
      <w:r>
        <w:rPr>
          <w:sz w:val="24"/>
        </w:rPr>
        <w:t xml:space="preserve"> с даты поступления в аккредитационный орган запроса о выдаче выписки.</w:t>
      </w:r>
    </w:p>
    <w:p>
      <w:pPr>
        <w:pStyle w:val="0"/>
        <w:jc w:val="both"/>
      </w:pPr>
      <w:r>
        <w:rPr>
          <w:sz w:val="24"/>
        </w:rPr>
      </w:r>
    </w:p>
    <w:bookmarkStart w:id="69" w:name="P69"/>
    <w:bookmarkEnd w:id="69"/>
    <w:p>
      <w:pPr>
        <w:pStyle w:val="0"/>
        <w:outlineLvl w:val="1"/>
        <w:jc w:val="center"/>
      </w:pPr>
      <w:r>
        <w:rPr>
          <w:sz w:val="24"/>
        </w:rPr>
        <w:t xml:space="preserve">2.7. Дополнительные материалы, письма:</w:t>
      </w:r>
    </w:p>
    <w:p>
      <w:pPr>
        <w:pStyle w:val="0"/>
        <w:jc w:val="both"/>
      </w:pPr>
      <w:r>
        <w:rPr>
          <w:sz w:val="24"/>
        </w:rPr>
      </w:r>
    </w:p>
    <w:p>
      <w:pPr>
        <w:pStyle w:val="0"/>
        <w:jc w:val="both"/>
      </w:pPr>
      <w:r>
        <w:rPr>
          <w:sz w:val="24"/>
        </w:rPr>
        <w:t xml:space="preserve">- </w:t>
      </w:r>
      <w:hyperlink w:history="0" r:id="rId31"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4"/>
            <w:color w:val="0000ff"/>
          </w:rPr>
          <w:t xml:space="preserve">Приказ</w:t>
        </w:r>
      </w:hyperlink>
      <w:r>
        <w:rPr>
          <w:sz w:val="24"/>
        </w:rPr>
        <w:t xml:space="preserve"> Минобрнауки России от 18.04.2023 N 409 "Об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w:t>
      </w:r>
    </w:p>
    <w:p>
      <w:pPr>
        <w:pStyle w:val="0"/>
        <w:spacing w:before="240" w:line-rule="auto"/>
        <w:jc w:val="both"/>
      </w:pPr>
      <w:r>
        <w:rPr>
          <w:sz w:val="24"/>
        </w:rPr>
        <w:t xml:space="preserve">- </w:t>
      </w:r>
      <w:hyperlink w:history="0" r:id="rId32" w:tooltip="Приказ Минпросвещения России от 14.04.2023 N 272 &quot;Об утверждении аккредитационных показателей, методики расчета и применения аккредитационных показателей по образовательным программам среднего профессионального образования&quot; (Зарегистрировано в Минюсте России 19.05.2023 N 73369) {КонсультантПлюс}">
        <w:r>
          <w:rPr>
            <w:sz w:val="24"/>
            <w:color w:val="0000ff"/>
          </w:rPr>
          <w:t xml:space="preserve">Приказ</w:t>
        </w:r>
      </w:hyperlink>
      <w:r>
        <w:rPr>
          <w:sz w:val="24"/>
        </w:rPr>
        <w:t xml:space="preserve"> Минпросвещения России от 14.04.2023 N 272 "Об утверждении аккредитационных показателей, методики расчета и применения аккредитационных показателей по образовательным программам среднего профессионального образования";</w:t>
      </w:r>
    </w:p>
    <w:p>
      <w:pPr>
        <w:pStyle w:val="0"/>
        <w:spacing w:before="240" w:line-rule="auto"/>
        <w:jc w:val="both"/>
      </w:pPr>
      <w:r>
        <w:rPr>
          <w:sz w:val="24"/>
        </w:rPr>
        <w:t xml:space="preserve">- </w:t>
      </w:r>
      <w:hyperlink w:history="0" r:id="rId33" w:tooltip="Приказ Минпросвещения России от 14.04.2023 N 271 &quot;Об утверждении аккредитационных показателей, методики расчета и применения аккредитационных показателей по основным общеобразовательным программам - образовательным программам начального общего образования, основного общего образования и среднего общего образования&quot; (Зарегистрировано в Минюсте России 19.05.2023 N 73365) {КонсультантПлюс}">
        <w:r>
          <w:rPr>
            <w:sz w:val="24"/>
            <w:color w:val="0000ff"/>
          </w:rPr>
          <w:t xml:space="preserve">Приказ</w:t>
        </w:r>
      </w:hyperlink>
      <w:r>
        <w:rPr>
          <w:sz w:val="24"/>
        </w:rPr>
        <w:t xml:space="preserve"> Минпросвещения России от 14.04.2023 N 271 "Об утверждении аккредитационных показателей, методики расчета и применения аккредитационных показателей по основным общеобразовательным программам - образовательным программам начального общего образования, основного общего образования и среднего общего образования";</w:t>
      </w:r>
    </w:p>
    <w:p>
      <w:pPr>
        <w:pStyle w:val="0"/>
        <w:spacing w:before="240" w:line-rule="auto"/>
        <w:jc w:val="both"/>
      </w:pPr>
      <w:r>
        <w:rPr>
          <w:sz w:val="24"/>
        </w:rPr>
        <w:t xml:space="preserve">- </w:t>
      </w:r>
      <w:hyperlink w:history="0" r:id="rId34" w:tooltip="&lt;Письмо&gt; Рособрнадзора от 06.09.2022 N Ко-15805/06-3210 &lt;О государственной аккредитации образовательной деятельности&gt; {КонсультантПлюс}">
        <w:r>
          <w:rPr>
            <w:sz w:val="24"/>
            <w:color w:val="0000ff"/>
          </w:rPr>
          <w:t xml:space="preserve">письмо</w:t>
        </w:r>
      </w:hyperlink>
      <w:r>
        <w:rPr>
          <w:sz w:val="24"/>
        </w:rPr>
        <w:t xml:space="preserve"> Рособрнадзора от 06.09.2022 N Ко-15805/06-3210 о порядке применения формы свидетельства о государственной аккредитации (временного свидетельства о государственной аккредитации);</w:t>
      </w:r>
    </w:p>
    <w:p>
      <w:pPr>
        <w:pStyle w:val="0"/>
        <w:spacing w:before="240" w:line-rule="auto"/>
        <w:jc w:val="both"/>
      </w:pPr>
      <w:r>
        <w:rPr>
          <w:sz w:val="24"/>
        </w:rPr>
        <w:t xml:space="preserve">- </w:t>
      </w:r>
      <w:hyperlink w:history="0" r:id="rId35" w:tooltip="Приказ Минпросвещения России от 29.11.2021 N 869 &quot;Об утверждении аккредитационных показателей по образовательным программам среднего профессионального образования&quot; (Зарегистрировано в Минюсте России 30.11.2021 N 66123) ------------ Утратил силу или отменен {КонсультантПлюс}">
        <w:r>
          <w:rPr>
            <w:sz w:val="24"/>
            <w:color w:val="0000ff"/>
          </w:rPr>
          <w:t xml:space="preserve">Приказ</w:t>
        </w:r>
      </w:hyperlink>
      <w:r>
        <w:rPr>
          <w:sz w:val="24"/>
        </w:rPr>
        <w:t xml:space="preserve"> Минпросвещения России от 29.11.2021 N 869 "Об утверждении аккредитационных показателей по образовательным программам среднего профессионального образования";</w:t>
      </w:r>
    </w:p>
    <w:p>
      <w:pPr>
        <w:pStyle w:val="0"/>
        <w:spacing w:before="240" w:line-rule="auto"/>
        <w:jc w:val="both"/>
      </w:pPr>
      <w:r>
        <w:rPr>
          <w:sz w:val="24"/>
        </w:rPr>
        <w:t xml:space="preserve">- </w:t>
      </w:r>
      <w:hyperlink w:history="0" r:id="rId36" w:tooltip="Постановление Правительства РФ от 03.04.2020 N 440 (ред. от 29.12.2021) &quot;О продлении действия разрешений и иных особенностях в отношении разрешительной деятельности в 2020 - 2022 годах&quot; (с изм. и доп., вступ. в силу с 01.03.2022) {КонсультантПлюс}">
        <w:r>
          <w:rPr>
            <w:sz w:val="24"/>
            <w:color w:val="0000ff"/>
          </w:rPr>
          <w:t xml:space="preserve">Постановлением</w:t>
        </w:r>
      </w:hyperlink>
      <w:r>
        <w:rPr>
          <w:sz w:val="24"/>
        </w:rPr>
        <w:t xml:space="preserve"> Правительства РФ от 03.04.2020 N 440 установлены особенности разрешительных режимов и сроки продления государственной аккредитации образовательных программ, реализуемых организациями, осуществляющими образовательную деятельность в </w:t>
      </w:r>
      <w:r>
        <w:rPr>
          <w:sz w:val="24"/>
        </w:rPr>
        <w:t xml:space="preserve">2020 - 2022</w:t>
      </w:r>
      <w:r>
        <w:rPr>
          <w:sz w:val="24"/>
        </w:rPr>
        <w:t xml:space="preserve"> гг.;</w:t>
      </w:r>
    </w:p>
    <w:p>
      <w:pPr>
        <w:pStyle w:val="0"/>
        <w:spacing w:before="240" w:line-rule="auto"/>
        <w:jc w:val="both"/>
      </w:pPr>
      <w:r>
        <w:rPr>
          <w:sz w:val="24"/>
        </w:rPr>
        <w:t xml:space="preserve">- </w:t>
      </w:r>
      <w:hyperlink w:history="0" r:id="rId37" w:tooltip="Приказ Минпросвещения России от 29.11.2021 N 868 &quot;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30.11.2021 N 66122) ------------ Утратил силу или отменен {КонсультантПлюс}">
        <w:r>
          <w:rPr>
            <w:sz w:val="24"/>
            <w:color w:val="0000ff"/>
          </w:rPr>
          <w:t xml:space="preserve">Приказом</w:t>
        </w:r>
      </w:hyperlink>
      <w:r>
        <w:rPr>
          <w:sz w:val="24"/>
        </w:rPr>
        <w:t xml:space="preserve"> Минпросвещения России от 29.11.2021 N 868 утверждены аккредитационные показатели по основным общеобразовательным программам - образовательным программам </w:t>
      </w:r>
      <w:hyperlink w:history="0" r:id="rId38" w:tooltip="Приказ Минпросвещения России от 29.11.2021 N 868 &quot;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30.11.2021 N 66122) ------------ Утратил силу или отменен {КонсультантПлюс}">
        <w:r>
          <w:rPr>
            <w:sz w:val="24"/>
            <w:color w:val="0000ff"/>
          </w:rPr>
          <w:t xml:space="preserve">начального</w:t>
        </w:r>
      </w:hyperlink>
      <w:r>
        <w:rPr>
          <w:sz w:val="24"/>
        </w:rPr>
        <w:t xml:space="preserve"> общего, основного </w:t>
      </w:r>
      <w:hyperlink w:history="0" r:id="rId39" w:tooltip="Приказ Минпросвещения России от 29.11.2021 N 868 &quot;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30.11.2021 N 66122) ------------ Утратил силу или отменен {КонсультантПлюс}">
        <w:r>
          <w:rPr>
            <w:sz w:val="24"/>
            <w:color w:val="0000ff"/>
          </w:rPr>
          <w:t xml:space="preserve">общего</w:t>
        </w:r>
      </w:hyperlink>
      <w:r>
        <w:rPr>
          <w:sz w:val="24"/>
        </w:rPr>
        <w:t xml:space="preserve"> и </w:t>
      </w:r>
      <w:hyperlink w:history="0" r:id="rId40" w:tooltip="Приказ Минпросвещения России от 29.11.2021 N 868 &quot;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30.11.2021 N 66122) ------------ Утратил силу или отменен {КонсультантПлюс}">
        <w:r>
          <w:rPr>
            <w:sz w:val="24"/>
            <w:color w:val="0000ff"/>
          </w:rPr>
          <w:t xml:space="preserve">среднего</w:t>
        </w:r>
      </w:hyperlink>
      <w:r>
        <w:rPr>
          <w:sz w:val="24"/>
        </w:rPr>
        <w:t xml:space="preserve"> общего образования;</w:t>
      </w:r>
    </w:p>
    <w:p>
      <w:pPr>
        <w:pStyle w:val="0"/>
        <w:spacing w:before="240" w:line-rule="auto"/>
        <w:jc w:val="both"/>
      </w:pPr>
      <w:r>
        <w:rPr>
          <w:sz w:val="24"/>
        </w:rPr>
        <w:t xml:space="preserve">- Приказом Минпросвещения России от 29.11.2021 N 868 утверждена </w:t>
      </w:r>
      <w:hyperlink w:history="0" r:id="rId41" w:tooltip="&quot;Методика расчета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х приказом Министерства просвещения Российской Федерации от 29.11.2021 N 868&quot; (утв. Минпросвещения России, Рособрнадзором 04.05.2022) {КонсультантПлюс}">
        <w:r>
          <w:rPr>
            <w:sz w:val="24"/>
            <w:color w:val="0000ff"/>
          </w:rPr>
          <w:t xml:space="preserve">методика расчета</w:t>
        </w:r>
      </w:hyperlink>
      <w:r>
        <w:rPr>
          <w:sz w:val="24"/>
        </w:rPr>
        <w:t xml:space="preserve">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w:t>
      </w:r>
    </w:p>
    <w:p>
      <w:pPr>
        <w:pStyle w:val="0"/>
        <w:spacing w:before="240" w:line-rule="auto"/>
        <w:jc w:val="both"/>
      </w:pPr>
      <w:r>
        <w:rPr>
          <w:sz w:val="24"/>
        </w:rPr>
        <w:t xml:space="preserve">- </w:t>
      </w:r>
      <w:hyperlink w:history="0" r:id="rId42" w:tooltip="&lt;Письмо&gt; Минобрнауки России от 28.02.2022 N МН-5/339 &quot;О направлении методических рекомендаций&quot; (вместе с &quot;Методическими рекомендациями по применению аккредитационных показателей по образовательным программам высшего образования, утвержденных приказом Министерства науки и высшего образования Российской Федерации от 25 ноября 2021 г. N 1094&quot;, утв. Минобрнауки России, Рособрнадзором) {КонсультантПлюс}">
        <w:r>
          <w:rPr>
            <w:sz w:val="24"/>
            <w:color w:val="0000ff"/>
          </w:rPr>
          <w:t xml:space="preserve">методические рекомендации</w:t>
        </w:r>
      </w:hyperlink>
      <w:r>
        <w:rPr>
          <w:sz w:val="24"/>
        </w:rPr>
        <w:t xml:space="preserve"> по применению аккредитационных показателей по образовательным программам высшего образования, утвержденных приказом Минобрнауки России от 25.11.2021 г. N 1094;</w:t>
      </w:r>
    </w:p>
    <w:p>
      <w:pPr>
        <w:pStyle w:val="0"/>
        <w:jc w:val="both"/>
      </w:pPr>
      <w:r>
        <w:rPr>
          <w:sz w:val="24"/>
        </w:rPr>
      </w:r>
    </w:p>
    <w:p>
      <w:pPr>
        <w:pStyle w:val="0"/>
        <w:jc w:val="both"/>
      </w:pPr>
      <w:r>
        <w:rPr>
          <w:sz w:val="24"/>
        </w:rPr>
        <w:t xml:space="preserve">- АНО НАРК 11.07.2018 утверждены </w:t>
      </w:r>
      <w:hyperlink w:history="0" r:id="rId43" w:tooltip="&quot;Рекомендации по организации и проведению профессионально-общественной аккредитации основных профессиональных образовательных программ, основных программ профессионального обучения, дополнительных профессиональных программ&quot; (утв. АНО НАРК 11.07.2018) {КонсультантПлюс}">
        <w:r>
          <w:rPr>
            <w:sz w:val="24"/>
            <w:color w:val="0000ff"/>
          </w:rPr>
          <w:t xml:space="preserve">рекомендации</w:t>
        </w:r>
      </w:hyperlink>
      <w:r>
        <w:rPr>
          <w:sz w:val="24"/>
        </w:rPr>
        <w:t xml:space="preserve"> по организации и проведению профессионально-общественной аккредитации основных профессиональных образовательных программ, основных программ профессионального обучения, дополнительных профессиональных программ;</w:t>
      </w:r>
    </w:p>
    <w:p>
      <w:pPr>
        <w:pStyle w:val="0"/>
        <w:spacing w:before="240" w:line-rule="auto"/>
        <w:jc w:val="both"/>
      </w:pPr>
      <w:r>
        <w:rPr>
          <w:sz w:val="24"/>
        </w:rPr>
        <w:t xml:space="preserve">- АНО НАРК утверждена </w:t>
      </w:r>
      <w:hyperlink w:history="0" r:id="rId44" w:tooltip="&quot;Типовая методика оценки профессиональной образовательной программы при проведении профессионально-общественной аккредитации&quot; (утв. АНО НАРК) {КонсультантПлюс}">
        <w:r>
          <w:rPr>
            <w:sz w:val="24"/>
            <w:color w:val="0000ff"/>
          </w:rPr>
          <w:t xml:space="preserve">типовая</w:t>
        </w:r>
      </w:hyperlink>
      <w:r>
        <w:rPr>
          <w:sz w:val="24"/>
        </w:rPr>
        <w:t xml:space="preserve"> методика оценки профессиональной образовательной программы при проведении профессионально-общественной аккредитации.</w:t>
      </w:r>
    </w:p>
    <w:p>
      <w:pPr>
        <w:pStyle w:val="0"/>
      </w:pPr>
      <w:hyperlink w:history="0" r:id="rId45" w:tooltip="Справочная информация: &quot;Основные виды систем аккредитации&quot; (Материал подготовлен специалистами КонсультантПлюс) {КонсультантПлюс}">
        <w:r>
          <w:rPr>
            <w:sz w:val="24"/>
            <w:color w:val="0000ff"/>
            <w:i w:val="on"/>
          </w:rPr>
          <w:br/>
          <w:t xml:space="preserve">р. 2, Справочная информация: "Основные виды систем аккредитации" (Материал подготовлен специалистами КонсультантПлюс) {КонсультантПлюс}</w:t>
        </w:r>
      </w:hyperlink>
      <w:r>
        <w:rPr>
          <w:sz w:val="24"/>
        </w:rPr>
        <w:br/>
      </w: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login.consultant.ru/link/?req=doc&amp;base=LAW&amp;n=499764&amp;date=04.09.2025&amp;dst=100101&amp;field=134" TargetMode = "External"/>
	<Relationship Id="rId3" Type="http://schemas.openxmlformats.org/officeDocument/2006/relationships/hyperlink" Target="https://login.consultant.ru/link/?req=doc&amp;base=LAW&amp;n=500550&amp;date=04.09.2025&amp;dst=100048&amp;field=134" TargetMode = "External"/>
	<Relationship Id="rId4" Type="http://schemas.openxmlformats.org/officeDocument/2006/relationships/hyperlink" Target="https://login.consultant.ru/link/?req=doc&amp;base=LAW&amp;n=499764&amp;date=04.09.2025&amp;dst=100088&amp;field=134" TargetMode = "External"/>
	<Relationship Id="rId5" Type="http://schemas.openxmlformats.org/officeDocument/2006/relationships/hyperlink" Target="https://login.consultant.ru/link/?req=doc&amp;base=LAW&amp;n=499764&amp;date=04.09.2025&amp;dst=100109&amp;field=134" TargetMode = "External"/>
	<Relationship Id="rId6" Type="http://schemas.openxmlformats.org/officeDocument/2006/relationships/hyperlink" Target="https://login.consultant.ru/link/?req=doc&amp;base=LAW&amp;n=490373&amp;date=04.09.2025&amp;dst=100013&amp;field=134" TargetMode = "External"/>
	<Relationship Id="rId7" Type="http://schemas.openxmlformats.org/officeDocument/2006/relationships/hyperlink" Target="https://login.consultant.ru/link/?req=doc&amp;base=LAW&amp;n=477539&amp;date=04.09.2025&amp;dst=100697&amp;field=134" TargetMode = "External"/>
	<Relationship Id="rId8" Type="http://schemas.openxmlformats.org/officeDocument/2006/relationships/hyperlink" Target="https://login.consultant.ru/link/?req=doc&amp;base=LAW&amp;n=499764&amp;date=04.09.2025&amp;dst=362&amp;field=134" TargetMode = "External"/>
	<Relationship Id="rId9" Type="http://schemas.openxmlformats.org/officeDocument/2006/relationships/hyperlink" Target="https://login.consultant.ru/link/?req=doc&amp;base=PAP&amp;n=28191&amp;date=04.09.2025" TargetMode = "External"/>
	<Relationship Id="rId10" Type="http://schemas.openxmlformats.org/officeDocument/2006/relationships/hyperlink" Target="https://login.consultant.ru/link/?req=doc&amp;base=LAW&amp;n=499764&amp;date=04.09.2025&amp;dst=101252&amp;field=134" TargetMode = "External"/>
	<Relationship Id="rId11" Type="http://schemas.openxmlformats.org/officeDocument/2006/relationships/hyperlink" Target="https://login.consultant.ru/link/?req=doc&amp;base=LAW&amp;n=499764&amp;date=04.09.2025&amp;dst=822&amp;field=134" TargetMode = "External"/>
	<Relationship Id="rId12" Type="http://schemas.openxmlformats.org/officeDocument/2006/relationships/hyperlink" Target="https://login.consultant.ru/link/?req=doc&amp;base=LAW&amp;n=499764&amp;date=04.09.2025&amp;dst=822&amp;field=134" TargetMode = "External"/>
	<Relationship Id="rId13" Type="http://schemas.openxmlformats.org/officeDocument/2006/relationships/hyperlink" Target="https://login.consultant.ru/link/?req=doc&amp;base=LAW&amp;n=499764&amp;date=04.09.2025&amp;dst=101254&amp;field=134" TargetMode = "External"/>
	<Relationship Id="rId14" Type="http://schemas.openxmlformats.org/officeDocument/2006/relationships/hyperlink" Target="https://login.consultant.ru/link/?req=doc&amp;base=LAW&amp;n=499764&amp;date=04.09.2025&amp;dst=101255&amp;field=134" TargetMode = "External"/>
	<Relationship Id="rId15" Type="http://schemas.openxmlformats.org/officeDocument/2006/relationships/hyperlink" Target="https://login.consultant.ru/link/?req=doc&amp;base=LAW&amp;n=500016&amp;date=04.09.2025&amp;dst=10462&amp;field=134" TargetMode = "External"/>
	<Relationship Id="rId16" Type="http://schemas.openxmlformats.org/officeDocument/2006/relationships/hyperlink" Target="https://login.consultant.ru/link/?req=doc&amp;base=LAW&amp;n=500016&amp;date=04.09.2025&amp;dst=23725&amp;field=134" TargetMode = "External"/>
	<Relationship Id="rId17" Type="http://schemas.openxmlformats.org/officeDocument/2006/relationships/hyperlink" Target="https://login.consultant.ru/link/?req=doc&amp;base=LAW&amp;n=500016&amp;date=04.09.2025&amp;dst=23726&amp;field=134" TargetMode = "External"/>
	<Relationship Id="rId18" Type="http://schemas.openxmlformats.org/officeDocument/2006/relationships/hyperlink" Target="https://login.consultant.ru/link/?req=doc&amp;base=LAW&amp;n=499764&amp;date=04.09.2025&amp;dst=101250&amp;field=134" TargetMode = "External"/>
	<Relationship Id="rId19" Type="http://schemas.openxmlformats.org/officeDocument/2006/relationships/hyperlink" Target="https://login.consultant.ru/link/?req=doc&amp;base=LAW&amp;n=445384&amp;date=04.09.2025&amp;dst=100012&amp;field=134" TargetMode = "External"/>
	<Relationship Id="rId20" Type="http://schemas.openxmlformats.org/officeDocument/2006/relationships/hyperlink" Target="https://login.consultant.ru/link/?req=doc&amp;base=LAW&amp;n=445384&amp;date=04.09.2025&amp;dst=100087&amp;field=134" TargetMode = "External"/>
	<Relationship Id="rId21" Type="http://schemas.openxmlformats.org/officeDocument/2006/relationships/hyperlink" Target="https://login.consultant.ru/link/?req=doc&amp;base=LAW&amp;n=445384&amp;date=04.09.2025&amp;dst=100017&amp;field=134" TargetMode = "External"/>
	<Relationship Id="rId22" Type="http://schemas.openxmlformats.org/officeDocument/2006/relationships/hyperlink" Target="https://login.consultant.ru/link/?req=doc&amp;base=LAW&amp;n=445384&amp;date=04.09.2025&amp;dst=100013&amp;field=134" TargetMode = "External"/>
	<Relationship Id="rId23" Type="http://schemas.openxmlformats.org/officeDocument/2006/relationships/hyperlink" Target="https://login.consultant.ru/link/?req=doc&amp;base=LAW&amp;n=445384&amp;date=04.09.2025&amp;dst=100019&amp;field=134" TargetMode = "External"/>
	<Relationship Id="rId24" Type="http://schemas.openxmlformats.org/officeDocument/2006/relationships/hyperlink" Target="https://login.consultant.ru/link/?req=doc&amp;base=LAW&amp;n=445384&amp;date=04.09.2025&amp;dst=100006&amp;field=134" TargetMode = "External"/>
	<Relationship Id="rId25" Type="http://schemas.openxmlformats.org/officeDocument/2006/relationships/hyperlink" Target="https://login.consultant.ru/link/?req=doc&amp;base=LAW&amp;n=445384&amp;date=04.09.2025&amp;dst=100082&amp;field=134" TargetMode = "External"/>
	<Relationship Id="rId26" Type="http://schemas.openxmlformats.org/officeDocument/2006/relationships/hyperlink" Target="https://login.consultant.ru/link/?req=doc&amp;base=LAW&amp;n=445384&amp;date=04.09.2025&amp;dst=100037&amp;field=134" TargetMode = "External"/>
	<Relationship Id="rId27" Type="http://schemas.openxmlformats.org/officeDocument/2006/relationships/hyperlink" Target="https://login.consultant.ru/link/?req=doc&amp;base=LAW&amp;n=445384&amp;date=04.09.2025&amp;dst=100083&amp;field=134" TargetMode = "External"/>
	<Relationship Id="rId28" Type="http://schemas.openxmlformats.org/officeDocument/2006/relationships/hyperlink" Target="https://login.consultant.ru/link/?req=doc&amp;base=LAW&amp;n=445384&amp;date=04.09.2025&amp;dst=100062&amp;field=134" TargetMode = "External"/>
	<Relationship Id="rId29" Type="http://schemas.openxmlformats.org/officeDocument/2006/relationships/hyperlink" Target="https://login.consultant.ru/link/?req=doc&amp;base=LAW&amp;n=445384&amp;date=04.09.2025&amp;dst=100063&amp;field=134" TargetMode = "External"/>
	<Relationship Id="rId30" Type="http://schemas.openxmlformats.org/officeDocument/2006/relationships/hyperlink" Target="https://login.consultant.ru/link/?req=doc&amp;base=LAW&amp;n=445384&amp;date=04.09.2025&amp;dst=100081&amp;field=134" TargetMode = "External"/>
	<Relationship Id="rId31" Type="http://schemas.openxmlformats.org/officeDocument/2006/relationships/hyperlink" Target="https://login.consultant.ru/link/?req=doc&amp;base=LAW&amp;n=447629&amp;date=04.09.2025" TargetMode = "External"/>
	<Relationship Id="rId32" Type="http://schemas.openxmlformats.org/officeDocument/2006/relationships/hyperlink" Target="https://login.consultant.ru/link/?req=doc&amp;base=LAW&amp;n=447603&amp;date=04.09.2025" TargetMode = "External"/>
	<Relationship Id="rId33" Type="http://schemas.openxmlformats.org/officeDocument/2006/relationships/hyperlink" Target="https://login.consultant.ru/link/?req=doc&amp;base=LAW&amp;n=447686&amp;date=04.09.2025" TargetMode = "External"/>
	<Relationship Id="rId34" Type="http://schemas.openxmlformats.org/officeDocument/2006/relationships/hyperlink" Target="https://login.consultant.ru/link/?req=doc&amp;base=LAW&amp;n=427457&amp;date=04.09.2025" TargetMode = "External"/>
	<Relationship Id="rId35" Type="http://schemas.openxmlformats.org/officeDocument/2006/relationships/hyperlink" Target="https://login.consultant.ru/link/?req=doc&amp;base=LAW&amp;n=402082&amp;date=04.09.2025" TargetMode = "External"/>
	<Relationship Id="rId36" Type="http://schemas.openxmlformats.org/officeDocument/2006/relationships/hyperlink" Target="https://login.consultant.ru/link/?req=doc&amp;base=LAW&amp;n=404418&amp;date=04.09.2025&amp;dst=100117&amp;field=134" TargetMode = "External"/>
	<Relationship Id="rId37" Type="http://schemas.openxmlformats.org/officeDocument/2006/relationships/hyperlink" Target="https://login.consultant.ru/link/?req=doc&amp;base=LAW&amp;n=402251&amp;date=04.09.2025" TargetMode = "External"/>
	<Relationship Id="rId38" Type="http://schemas.openxmlformats.org/officeDocument/2006/relationships/hyperlink" Target="https://login.consultant.ru/link/?req=doc&amp;base=LAW&amp;n=402251&amp;date=04.09.2025&amp;dst=100015&amp;field=134" TargetMode = "External"/>
	<Relationship Id="rId39" Type="http://schemas.openxmlformats.org/officeDocument/2006/relationships/hyperlink" Target="https://login.consultant.ru/link/?req=doc&amp;base=LAW&amp;n=402251&amp;date=04.09.2025&amp;dst=100143&amp;field=134" TargetMode = "External"/>
	<Relationship Id="rId40" Type="http://schemas.openxmlformats.org/officeDocument/2006/relationships/hyperlink" Target="https://login.consultant.ru/link/?req=doc&amp;base=LAW&amp;n=402251&amp;date=04.09.2025&amp;dst=100287&amp;field=134" TargetMode = "External"/>
	<Relationship Id="rId41" Type="http://schemas.openxmlformats.org/officeDocument/2006/relationships/hyperlink" Target="https://login.consultant.ru/link/?req=doc&amp;base=LAW&amp;n=418105&amp;date=04.09.2025&amp;dst=100004&amp;field=134" TargetMode = "External"/>
	<Relationship Id="rId42" Type="http://schemas.openxmlformats.org/officeDocument/2006/relationships/hyperlink" Target="https://login.consultant.ru/link/?req=doc&amp;base=LAW&amp;n=410739&amp;date=04.09.2025&amp;dst=100009&amp;field=134" TargetMode = "External"/>
	<Relationship Id="rId43" Type="http://schemas.openxmlformats.org/officeDocument/2006/relationships/hyperlink" Target="https://login.consultant.ru/link/?req=doc&amp;base=LAW&amp;n=326708&amp;date=04.09.2025" TargetMode = "External"/>
	<Relationship Id="rId44" Type="http://schemas.openxmlformats.org/officeDocument/2006/relationships/hyperlink" Target="https://login.consultant.ru/link/?req=doc&amp;base=LAW&amp;n=326545&amp;date=04.09.2025" TargetMode = "External"/>
	<Relationship Id="rId45" Type="http://schemas.openxmlformats.org/officeDocument/2006/relationships/hyperlink" Target="https://login.consultant.ru/link/?req=doc&amp;base=LAW&amp;n=127887&amp;date=04.09.2025&amp;dst=100058&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Справочная информация: "Основные виды систем аккредитации"
(Материал подготовлен специалистами КонсультантПлюс)</dc:title>
  <dcterms:created xsi:type="dcterms:W3CDTF">2025-09-04T09:01:55Z</dcterms:created>
</cp:coreProperties>
</file>